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3A55" w14:textId="43EDA146" w:rsidR="000143BE" w:rsidRPr="000143BE" w:rsidRDefault="000143BE" w:rsidP="000143BE">
      <w:pPr>
        <w:jc w:val="center"/>
        <w:rPr>
          <w:b/>
          <w:bCs/>
          <w:sz w:val="28"/>
          <w:szCs w:val="28"/>
        </w:rPr>
      </w:pPr>
      <w:r w:rsidRPr="000143BE">
        <w:rPr>
          <w:b/>
          <w:bCs/>
          <w:sz w:val="28"/>
          <w:szCs w:val="28"/>
        </w:rPr>
        <w:t>ZOOM APPEARANCE GUIDELINES</w:t>
      </w:r>
    </w:p>
    <w:p w14:paraId="4BCB99A2" w14:textId="4A91DA00" w:rsidR="000143BE" w:rsidRPr="000143BE" w:rsidRDefault="000143BE" w:rsidP="000143BE">
      <w:pPr>
        <w:jc w:val="center"/>
        <w:rPr>
          <w:b/>
          <w:bCs/>
          <w:sz w:val="28"/>
          <w:szCs w:val="28"/>
        </w:rPr>
      </w:pPr>
      <w:r w:rsidRPr="000143BE">
        <w:rPr>
          <w:b/>
          <w:bCs/>
          <w:sz w:val="28"/>
          <w:szCs w:val="28"/>
        </w:rPr>
        <w:t>FOR JUDGE DAVID S. WAINER, III</w:t>
      </w:r>
    </w:p>
    <w:p w14:paraId="77677683" w14:textId="6DB26FE0" w:rsidR="000143BE" w:rsidRPr="000143BE" w:rsidRDefault="000143BE" w:rsidP="000143BE">
      <w:pPr>
        <w:jc w:val="center"/>
        <w:rPr>
          <w:b/>
          <w:bCs/>
          <w:sz w:val="28"/>
          <w:szCs w:val="28"/>
        </w:rPr>
      </w:pPr>
      <w:r w:rsidRPr="000143BE">
        <w:rPr>
          <w:b/>
          <w:bCs/>
          <w:sz w:val="28"/>
          <w:szCs w:val="28"/>
        </w:rPr>
        <w:t xml:space="preserve">The </w:t>
      </w:r>
      <w:r w:rsidR="00F54928">
        <w:rPr>
          <w:b/>
          <w:bCs/>
          <w:sz w:val="28"/>
          <w:szCs w:val="28"/>
        </w:rPr>
        <w:t xml:space="preserve">New </w:t>
      </w:r>
      <w:r w:rsidRPr="000143BE">
        <w:rPr>
          <w:b/>
          <w:bCs/>
          <w:sz w:val="28"/>
          <w:szCs w:val="28"/>
        </w:rPr>
        <w:t xml:space="preserve">Zoom link ID is: 386 257 </w:t>
      </w:r>
      <w:proofErr w:type="gramStart"/>
      <w:r w:rsidRPr="000143BE">
        <w:rPr>
          <w:b/>
          <w:bCs/>
          <w:sz w:val="28"/>
          <w:szCs w:val="28"/>
        </w:rPr>
        <w:t>60</w:t>
      </w:r>
      <w:r w:rsidRPr="000143BE">
        <w:rPr>
          <w:b/>
          <w:bCs/>
          <w:sz w:val="28"/>
          <w:szCs w:val="28"/>
        </w:rPr>
        <w:t>72</w:t>
      </w:r>
      <w:proofErr w:type="gramEnd"/>
    </w:p>
    <w:p w14:paraId="74DDB157" w14:textId="0067C912" w:rsidR="000143BE" w:rsidRPr="000143BE" w:rsidRDefault="000143BE" w:rsidP="000143BE">
      <w:pPr>
        <w:jc w:val="center"/>
        <w:rPr>
          <w:b/>
          <w:bCs/>
          <w:sz w:val="28"/>
          <w:szCs w:val="28"/>
        </w:rPr>
      </w:pPr>
      <w:r w:rsidRPr="000143BE">
        <w:rPr>
          <w:b/>
          <w:bCs/>
          <w:sz w:val="28"/>
          <w:szCs w:val="28"/>
        </w:rPr>
        <w:t xml:space="preserve">No passcode is </w:t>
      </w:r>
      <w:proofErr w:type="gramStart"/>
      <w:r w:rsidRPr="000143BE">
        <w:rPr>
          <w:b/>
          <w:bCs/>
          <w:sz w:val="28"/>
          <w:szCs w:val="28"/>
        </w:rPr>
        <w:t>required</w:t>
      </w:r>
      <w:proofErr w:type="gramEnd"/>
    </w:p>
    <w:p w14:paraId="443974D0" w14:textId="77777777" w:rsidR="000143BE" w:rsidRPr="000143BE" w:rsidRDefault="000143BE" w:rsidP="000143BE">
      <w:pPr>
        <w:jc w:val="center"/>
        <w:rPr>
          <w:sz w:val="28"/>
          <w:szCs w:val="28"/>
        </w:rPr>
      </w:pPr>
    </w:p>
    <w:p w14:paraId="573A832A" w14:textId="4773FF3E" w:rsidR="000143BE" w:rsidRPr="000143BE" w:rsidRDefault="000143BE" w:rsidP="000143BE">
      <w:pPr>
        <w:jc w:val="center"/>
        <w:rPr>
          <w:sz w:val="28"/>
          <w:szCs w:val="28"/>
          <w:u w:val="single"/>
        </w:rPr>
      </w:pPr>
      <w:r w:rsidRPr="000143BE">
        <w:rPr>
          <w:sz w:val="28"/>
          <w:szCs w:val="28"/>
          <w:u w:val="single"/>
        </w:rPr>
        <w:t>The Court’s Guidelines for appearance by Zoom are</w:t>
      </w:r>
      <w:r w:rsidRPr="000143BE">
        <w:rPr>
          <w:sz w:val="28"/>
          <w:szCs w:val="28"/>
          <w:u w:val="single"/>
        </w:rPr>
        <w:t xml:space="preserve"> as follows</w:t>
      </w:r>
      <w:r w:rsidRPr="000143BE">
        <w:rPr>
          <w:sz w:val="28"/>
          <w:szCs w:val="28"/>
          <w:u w:val="single"/>
        </w:rPr>
        <w:t>:</w:t>
      </w:r>
    </w:p>
    <w:p w14:paraId="3997AF2C" w14:textId="77777777" w:rsidR="000143BE" w:rsidRPr="000143BE" w:rsidRDefault="000143BE" w:rsidP="000143BE">
      <w:pPr>
        <w:rPr>
          <w:sz w:val="28"/>
          <w:szCs w:val="28"/>
        </w:rPr>
      </w:pPr>
    </w:p>
    <w:p w14:paraId="5E5A4D15" w14:textId="51821052" w:rsidR="000143BE" w:rsidRDefault="000143BE" w:rsidP="000143BE">
      <w:pPr>
        <w:spacing w:after="0" w:line="240" w:lineRule="auto"/>
        <w:rPr>
          <w:sz w:val="28"/>
          <w:szCs w:val="28"/>
        </w:rPr>
      </w:pPr>
      <w:r w:rsidRPr="000143BE">
        <w:rPr>
          <w:sz w:val="28"/>
          <w:szCs w:val="28"/>
        </w:rPr>
        <w:t xml:space="preserve">All parties </w:t>
      </w:r>
      <w:r w:rsidR="00F54928">
        <w:rPr>
          <w:sz w:val="28"/>
          <w:szCs w:val="28"/>
        </w:rPr>
        <w:t xml:space="preserve">attending a hearing </w:t>
      </w:r>
      <w:r w:rsidRPr="000143BE">
        <w:rPr>
          <w:sz w:val="28"/>
          <w:szCs w:val="28"/>
        </w:rPr>
        <w:t>by Zoom will enter the hearing with their audio and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 xml:space="preserve">video </w:t>
      </w:r>
      <w:r w:rsidRPr="00F54928">
        <w:rPr>
          <w:sz w:val="28"/>
          <w:szCs w:val="28"/>
          <w:highlight w:val="yellow"/>
        </w:rPr>
        <w:t>muted</w:t>
      </w:r>
      <w:r w:rsidRPr="000143BE">
        <w:rPr>
          <w:sz w:val="28"/>
          <w:szCs w:val="28"/>
        </w:rPr>
        <w:t xml:space="preserve">. </w:t>
      </w:r>
    </w:p>
    <w:p w14:paraId="03886F78" w14:textId="77777777" w:rsidR="000143BE" w:rsidRDefault="000143BE" w:rsidP="000143BE">
      <w:pPr>
        <w:spacing w:after="0" w:line="240" w:lineRule="auto"/>
        <w:rPr>
          <w:sz w:val="28"/>
          <w:szCs w:val="28"/>
        </w:rPr>
      </w:pPr>
    </w:p>
    <w:p w14:paraId="543E5E57" w14:textId="77777777" w:rsidR="000143BE" w:rsidRDefault="000143BE" w:rsidP="000143BE">
      <w:pPr>
        <w:spacing w:after="0" w:line="240" w:lineRule="auto"/>
        <w:rPr>
          <w:sz w:val="28"/>
          <w:szCs w:val="28"/>
        </w:rPr>
      </w:pPr>
      <w:r w:rsidRPr="000143BE">
        <w:rPr>
          <w:sz w:val="28"/>
          <w:szCs w:val="28"/>
        </w:rPr>
        <w:t xml:space="preserve">The device must remain </w:t>
      </w:r>
      <w:r w:rsidRPr="00F54928">
        <w:rPr>
          <w:sz w:val="28"/>
          <w:szCs w:val="28"/>
          <w:highlight w:val="yellow"/>
        </w:rPr>
        <w:t>muted</w:t>
      </w:r>
      <w:r w:rsidRPr="000143BE">
        <w:rPr>
          <w:sz w:val="28"/>
          <w:szCs w:val="28"/>
        </w:rPr>
        <w:t xml:space="preserve"> until your case is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 xml:space="preserve">called. </w:t>
      </w:r>
    </w:p>
    <w:p w14:paraId="1E2205C0" w14:textId="77777777" w:rsidR="000143BE" w:rsidRDefault="000143BE" w:rsidP="000143BE">
      <w:pPr>
        <w:spacing w:after="0" w:line="240" w:lineRule="auto"/>
        <w:rPr>
          <w:sz w:val="28"/>
          <w:szCs w:val="28"/>
        </w:rPr>
      </w:pPr>
    </w:p>
    <w:p w14:paraId="11DDEE83" w14:textId="77B60D1D" w:rsidR="000143BE" w:rsidRDefault="000143BE" w:rsidP="000143BE">
      <w:pPr>
        <w:spacing w:after="0" w:line="240" w:lineRule="auto"/>
        <w:jc w:val="both"/>
        <w:rPr>
          <w:sz w:val="28"/>
          <w:szCs w:val="28"/>
        </w:rPr>
      </w:pPr>
      <w:r w:rsidRPr="000143BE">
        <w:rPr>
          <w:sz w:val="28"/>
          <w:szCs w:val="28"/>
        </w:rPr>
        <w:t>When your case is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called, please start video, and</w:t>
      </w:r>
      <w:r>
        <w:rPr>
          <w:sz w:val="28"/>
          <w:szCs w:val="28"/>
        </w:rPr>
        <w:t xml:space="preserve"> </w:t>
      </w:r>
      <w:r w:rsidRPr="00F54928">
        <w:rPr>
          <w:sz w:val="28"/>
          <w:szCs w:val="28"/>
          <w:highlight w:val="yellow"/>
        </w:rPr>
        <w:t>unmute</w:t>
      </w:r>
      <w:r w:rsidRPr="000143BE">
        <w:rPr>
          <w:sz w:val="28"/>
          <w:szCs w:val="28"/>
        </w:rPr>
        <w:t xml:space="preserve"> your device. If you fail to respond when called, your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case may be deferred until a later time.</w:t>
      </w:r>
    </w:p>
    <w:p w14:paraId="7F22667E" w14:textId="77777777" w:rsidR="000143BE" w:rsidRPr="000143BE" w:rsidRDefault="000143BE" w:rsidP="000143BE">
      <w:pPr>
        <w:spacing w:after="0" w:line="240" w:lineRule="auto"/>
        <w:rPr>
          <w:sz w:val="28"/>
          <w:szCs w:val="28"/>
        </w:rPr>
      </w:pPr>
    </w:p>
    <w:p w14:paraId="293E3CBE" w14:textId="1F03FB5A" w:rsidR="000143BE" w:rsidRDefault="000143BE" w:rsidP="000143BE">
      <w:pPr>
        <w:spacing w:after="0" w:line="240" w:lineRule="auto"/>
        <w:jc w:val="both"/>
        <w:rPr>
          <w:sz w:val="28"/>
          <w:szCs w:val="28"/>
        </w:rPr>
      </w:pPr>
      <w:r w:rsidRPr="000143BE">
        <w:rPr>
          <w:sz w:val="28"/>
          <w:szCs w:val="28"/>
        </w:rPr>
        <w:t>Unless appearing by telephone, all parties must identify their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 xml:space="preserve">device </w:t>
      </w:r>
      <w:r>
        <w:rPr>
          <w:sz w:val="28"/>
          <w:szCs w:val="28"/>
        </w:rPr>
        <w:t xml:space="preserve">by using their first and last name.  If you are an attorney, please list “Attorney” before your name.  </w:t>
      </w:r>
    </w:p>
    <w:p w14:paraId="6878F1E2" w14:textId="77777777" w:rsidR="000143BE" w:rsidRPr="000143BE" w:rsidRDefault="000143BE" w:rsidP="000143BE">
      <w:pPr>
        <w:spacing w:after="0" w:line="240" w:lineRule="auto"/>
        <w:rPr>
          <w:sz w:val="28"/>
          <w:szCs w:val="28"/>
        </w:rPr>
      </w:pPr>
    </w:p>
    <w:p w14:paraId="1580A3CD" w14:textId="209D74DF" w:rsidR="000143BE" w:rsidRDefault="000143BE" w:rsidP="000143BE">
      <w:pPr>
        <w:spacing w:after="0" w:line="240" w:lineRule="auto"/>
        <w:jc w:val="both"/>
        <w:rPr>
          <w:sz w:val="28"/>
          <w:szCs w:val="28"/>
        </w:rPr>
      </w:pPr>
      <w:r w:rsidRPr="000143BE">
        <w:rPr>
          <w:sz w:val="28"/>
          <w:szCs w:val="28"/>
        </w:rPr>
        <w:t>Devices labeled as “iPhone” or similar generic listing are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subject to removal from the hearing unless the user identifies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themselves to the Court’s judicial assistant and requests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assistance in “renaming” their device. Pseudonyms are not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permitted.</w:t>
      </w:r>
    </w:p>
    <w:p w14:paraId="1FEAD548" w14:textId="77777777" w:rsidR="000143BE" w:rsidRPr="000143BE" w:rsidRDefault="000143BE" w:rsidP="000143BE">
      <w:pPr>
        <w:spacing w:after="0" w:line="240" w:lineRule="auto"/>
        <w:rPr>
          <w:sz w:val="28"/>
          <w:szCs w:val="28"/>
        </w:rPr>
      </w:pPr>
    </w:p>
    <w:p w14:paraId="5508404C" w14:textId="5CD4C837" w:rsidR="000143BE" w:rsidRDefault="000143BE" w:rsidP="000143BE">
      <w:pPr>
        <w:spacing w:after="0" w:line="240" w:lineRule="auto"/>
        <w:jc w:val="both"/>
        <w:rPr>
          <w:sz w:val="28"/>
          <w:szCs w:val="28"/>
        </w:rPr>
      </w:pPr>
      <w:r w:rsidRPr="000143BE">
        <w:rPr>
          <w:sz w:val="28"/>
          <w:szCs w:val="28"/>
        </w:rPr>
        <w:t>All persons appearing by audio-video device are requested to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present themselves as if they were in court in person. As such</w:t>
      </w:r>
      <w:r w:rsidR="007A3C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they should refrain from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eating, drinking, smoking, or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participating in external conversations while before the court.</w:t>
      </w:r>
    </w:p>
    <w:p w14:paraId="62E5AFFD" w14:textId="77777777" w:rsidR="000143BE" w:rsidRPr="000143BE" w:rsidRDefault="000143BE" w:rsidP="000143BE">
      <w:pPr>
        <w:spacing w:after="0" w:line="240" w:lineRule="auto"/>
        <w:rPr>
          <w:sz w:val="28"/>
          <w:szCs w:val="28"/>
        </w:rPr>
      </w:pPr>
    </w:p>
    <w:p w14:paraId="260957DE" w14:textId="68366849" w:rsidR="000143BE" w:rsidRDefault="000143BE" w:rsidP="00D0634C">
      <w:pPr>
        <w:spacing w:after="0" w:line="240" w:lineRule="auto"/>
        <w:jc w:val="both"/>
        <w:rPr>
          <w:sz w:val="28"/>
          <w:szCs w:val="28"/>
        </w:rPr>
      </w:pPr>
      <w:r w:rsidRPr="000143BE">
        <w:rPr>
          <w:sz w:val="28"/>
          <w:szCs w:val="28"/>
        </w:rPr>
        <w:t>Persons operating an automobile</w:t>
      </w:r>
      <w:r w:rsidR="007A3C0F"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 xml:space="preserve">or any other moving </w:t>
      </w:r>
      <w:proofErr w:type="gramStart"/>
      <w:r w:rsidRPr="000143BE">
        <w:rPr>
          <w:sz w:val="28"/>
          <w:szCs w:val="28"/>
        </w:rPr>
        <w:t>vehicle,</w:t>
      </w:r>
      <w:proofErr w:type="gramEnd"/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must bring the vehicle to a safe complete stop before actively</w:t>
      </w:r>
      <w:r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participating in the hearing. If the Court observes that the</w:t>
      </w:r>
      <w:r w:rsidR="00D0634C"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person is in a moving vehicle and may be operating such</w:t>
      </w:r>
      <w:r w:rsidR="00D0634C"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vehicle, the hearing will be suspended until that person assures</w:t>
      </w:r>
      <w:r w:rsidR="00D0634C"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the Court</w:t>
      </w:r>
      <w:r w:rsidR="00D0634C">
        <w:rPr>
          <w:sz w:val="28"/>
          <w:szCs w:val="28"/>
        </w:rPr>
        <w:t xml:space="preserve"> that </w:t>
      </w:r>
      <w:r w:rsidRPr="000143BE">
        <w:rPr>
          <w:sz w:val="28"/>
          <w:szCs w:val="28"/>
        </w:rPr>
        <w:t>they are not operating a moving vehicle.</w:t>
      </w:r>
    </w:p>
    <w:p w14:paraId="536E3B18" w14:textId="77777777" w:rsidR="00D0634C" w:rsidRPr="000143BE" w:rsidRDefault="00D0634C" w:rsidP="00D0634C">
      <w:pPr>
        <w:spacing w:after="0" w:line="240" w:lineRule="auto"/>
        <w:jc w:val="both"/>
        <w:rPr>
          <w:sz w:val="28"/>
          <w:szCs w:val="28"/>
        </w:rPr>
      </w:pPr>
    </w:p>
    <w:p w14:paraId="0998EB38" w14:textId="0A4BA7DE" w:rsidR="00371883" w:rsidRPr="000143BE" w:rsidRDefault="000143BE" w:rsidP="00D0634C">
      <w:pPr>
        <w:jc w:val="both"/>
        <w:rPr>
          <w:sz w:val="28"/>
          <w:szCs w:val="28"/>
        </w:rPr>
      </w:pPr>
      <w:r w:rsidRPr="000143BE">
        <w:rPr>
          <w:sz w:val="28"/>
          <w:szCs w:val="28"/>
        </w:rPr>
        <w:t>Persons wearing attire inappropriate for court appearance or</w:t>
      </w:r>
      <w:r w:rsidR="00D0634C"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 xml:space="preserve">distracting to others, may also be </w:t>
      </w:r>
      <w:proofErr w:type="gramStart"/>
      <w:r w:rsidRPr="000143BE">
        <w:rPr>
          <w:sz w:val="28"/>
          <w:szCs w:val="28"/>
        </w:rPr>
        <w:t>excluded</w:t>
      </w:r>
      <w:proofErr w:type="gramEnd"/>
      <w:r w:rsidRPr="000143BE">
        <w:rPr>
          <w:sz w:val="28"/>
          <w:szCs w:val="28"/>
        </w:rPr>
        <w:t xml:space="preserve"> or removed from the</w:t>
      </w:r>
      <w:r w:rsidR="00D0634C">
        <w:rPr>
          <w:sz w:val="28"/>
          <w:szCs w:val="28"/>
        </w:rPr>
        <w:t xml:space="preserve"> </w:t>
      </w:r>
      <w:r w:rsidRPr="000143BE">
        <w:rPr>
          <w:sz w:val="28"/>
          <w:szCs w:val="28"/>
        </w:rPr>
        <w:t>hearing.</w:t>
      </w:r>
    </w:p>
    <w:sectPr w:rsidR="00371883" w:rsidRPr="00014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BE"/>
    <w:rsid w:val="000143BE"/>
    <w:rsid w:val="00371883"/>
    <w:rsid w:val="007A3C0F"/>
    <w:rsid w:val="008D70D4"/>
    <w:rsid w:val="00D0634C"/>
    <w:rsid w:val="00F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DACA"/>
  <w15:chartTrackingRefBased/>
  <w15:docId w15:val="{310B1247-E514-4455-9B8E-CFD5C193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Susan</dc:creator>
  <cp:keywords/>
  <dc:description/>
  <cp:lastModifiedBy>Price, Susan</cp:lastModifiedBy>
  <cp:revision>3</cp:revision>
  <dcterms:created xsi:type="dcterms:W3CDTF">2024-05-02T13:55:00Z</dcterms:created>
  <dcterms:modified xsi:type="dcterms:W3CDTF">2024-05-02T14:11:00Z</dcterms:modified>
</cp:coreProperties>
</file>